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EE0E" w14:textId="13BF6443" w:rsidR="00FB2567" w:rsidRPr="00B35D34" w:rsidRDefault="00FB2567" w:rsidP="00BD64F9">
      <w:pPr>
        <w:jc w:val="center"/>
        <w:rPr>
          <w:b/>
          <w:sz w:val="16"/>
        </w:rPr>
      </w:pPr>
      <w:r w:rsidRPr="00B35D34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C4990" wp14:editId="3CED9D72">
                <wp:simplePos x="0" y="0"/>
                <wp:positionH relativeFrom="column">
                  <wp:posOffset>-305435</wp:posOffset>
                </wp:positionH>
                <wp:positionV relativeFrom="paragraph">
                  <wp:posOffset>-531767</wp:posOffset>
                </wp:positionV>
                <wp:extent cx="2193290" cy="260985"/>
                <wp:effectExtent l="0" t="0" r="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1C7B6" id="Rectangle 4" o:spid="_x0000_s1026" style="position:absolute;margin-left:-24.05pt;margin-top:-41.85pt;width:172.7pt;height:20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" fillcolor="white [3212]" stroked="f" strokeweight="1pt"/>
            </w:pict>
          </mc:Fallback>
        </mc:AlternateContent>
      </w:r>
      <w:r w:rsidRPr="00B35D34">
        <w:rPr>
          <w:noProof/>
          <w:sz w:val="16"/>
          <w:lang w:eastAsia="fr-FR"/>
        </w:rPr>
        <w:drawing>
          <wp:anchor distT="0" distB="0" distL="114300" distR="114300" simplePos="0" relativeHeight="251705344" behindDoc="0" locked="0" layoutInCell="1" allowOverlap="1" wp14:anchorId="49F42169" wp14:editId="30762167">
            <wp:simplePos x="0" y="0"/>
            <wp:positionH relativeFrom="column">
              <wp:posOffset>-365125</wp:posOffset>
            </wp:positionH>
            <wp:positionV relativeFrom="paragraph">
              <wp:posOffset>-509905</wp:posOffset>
            </wp:positionV>
            <wp:extent cx="1736090" cy="7016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MG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E1D6B" w14:textId="3C327A3F" w:rsidR="004C421A" w:rsidRPr="00877729" w:rsidRDefault="00410AED" w:rsidP="0045438F">
      <w:pPr>
        <w:spacing w:line="240" w:lineRule="auto"/>
        <w:jc w:val="center"/>
        <w:rPr>
          <w:b/>
          <w:sz w:val="28"/>
        </w:rPr>
      </w:pPr>
      <w:r w:rsidRPr="00877729">
        <w:rPr>
          <w:b/>
          <w:sz w:val="28"/>
        </w:rPr>
        <w:t>Thèse de DES Médecine générale : mode d’emploi</w:t>
      </w:r>
    </w:p>
    <w:p w14:paraId="199B589B" w14:textId="77777777" w:rsidR="00410AED" w:rsidRPr="00B35D34" w:rsidRDefault="00410AED" w:rsidP="0045438F">
      <w:pPr>
        <w:spacing w:line="240" w:lineRule="auto"/>
        <w:rPr>
          <w:sz w:val="14"/>
        </w:rPr>
      </w:pPr>
    </w:p>
    <w:p w14:paraId="77A2F7C4" w14:textId="06DF3383" w:rsidR="00410AED" w:rsidRDefault="003F38AA" w:rsidP="0045438F">
      <w:pPr>
        <w:spacing w:line="240" w:lineRule="auto"/>
        <w:jc w:val="both"/>
      </w:pPr>
      <w:r>
        <w:t xml:space="preserve"> </w:t>
      </w:r>
      <w:r w:rsidR="00BD64F9">
        <w:t>« </w:t>
      </w:r>
      <w:r w:rsidR="00675D97">
        <w:t>À</w:t>
      </w:r>
      <w:r w:rsidR="00BD64F9">
        <w:t xml:space="preserve"> quoi bon s’embêter avec une thèse ? Je veux </w:t>
      </w:r>
      <w:r w:rsidR="00675D97">
        <w:t xml:space="preserve">être </w:t>
      </w:r>
      <w:r w:rsidR="00BD64F9">
        <w:t xml:space="preserve">médecin, moi, pas chercheur ». </w:t>
      </w:r>
      <w:r w:rsidR="006A7CE3">
        <w:t>Rassurez-vous ;</w:t>
      </w:r>
      <w:r w:rsidR="00BD64F9">
        <w:t xml:space="preserve"> la thèse n</w:t>
      </w:r>
      <w:r w:rsidR="00D83C96">
        <w:t xml:space="preserve">’a pas pour </w:t>
      </w:r>
      <w:r>
        <w:t>objectif</w:t>
      </w:r>
      <w:r w:rsidR="00D83C96">
        <w:t xml:space="preserve"> de faire de vous </w:t>
      </w:r>
      <w:r w:rsidR="00BD64F9">
        <w:t xml:space="preserve">un chercheur. </w:t>
      </w:r>
      <w:r>
        <w:t>Elle se présente plutôt comme un stage en entreprise, pour se frotter à la réalité du recueil et de l’analyse des données, ces données qui nourrissent les recommandations et modèlent nos prises en charge.</w:t>
      </w:r>
    </w:p>
    <w:p w14:paraId="420802A7" w14:textId="77777777" w:rsidR="00877729" w:rsidRDefault="00877729" w:rsidP="0045438F">
      <w:pPr>
        <w:spacing w:line="240" w:lineRule="auto"/>
        <w:jc w:val="both"/>
      </w:pPr>
    </w:p>
    <w:p w14:paraId="485AA299" w14:textId="77777777" w:rsidR="003F38AA" w:rsidRPr="00BD64F9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1. </w:t>
      </w:r>
      <w:r w:rsidR="003F38AA" w:rsidRPr="00BD64F9">
        <w:rPr>
          <w:b/>
        </w:rPr>
        <w:t>Qu’est-ce qu</w:t>
      </w:r>
      <w:r w:rsidR="003F38AA">
        <w:rPr>
          <w:b/>
        </w:rPr>
        <w:t>e l</w:t>
      </w:r>
      <w:r w:rsidR="003F38AA" w:rsidRPr="00BD64F9">
        <w:rPr>
          <w:b/>
        </w:rPr>
        <w:t xml:space="preserve">’on attend de moi ? </w:t>
      </w:r>
    </w:p>
    <w:p w14:paraId="581CB0EE" w14:textId="77777777" w:rsidR="006A7CE3" w:rsidRDefault="003F38AA" w:rsidP="0045438F">
      <w:pPr>
        <w:spacing w:after="0" w:line="240" w:lineRule="auto"/>
        <w:jc w:val="both"/>
      </w:pPr>
      <w:r>
        <w:t xml:space="preserve">Le sujet de votre thèse doit correspondre à votre DES : il est donc attendu un travail qui concerne la médecine générale. </w:t>
      </w:r>
    </w:p>
    <w:p w14:paraId="5FBC8322" w14:textId="77777777" w:rsidR="006A7CE3" w:rsidRDefault="003F38AA" w:rsidP="0045438F">
      <w:pPr>
        <w:spacing w:line="240" w:lineRule="auto"/>
        <w:jc w:val="both"/>
        <w:rPr>
          <w:i/>
          <w:sz w:val="20"/>
        </w:rPr>
      </w:pPr>
      <w:r w:rsidRPr="006A7CE3">
        <w:rPr>
          <w:i/>
          <w:sz w:val="20"/>
        </w:rPr>
        <w:t xml:space="preserve">NB. Cela peut tout à fait être </w:t>
      </w:r>
      <w:r w:rsidR="006A7CE3" w:rsidRPr="006A7CE3">
        <w:rPr>
          <w:i/>
          <w:sz w:val="20"/>
        </w:rPr>
        <w:t xml:space="preserve">par exemple </w:t>
      </w:r>
      <w:r w:rsidRPr="006A7CE3">
        <w:rPr>
          <w:i/>
          <w:sz w:val="20"/>
        </w:rPr>
        <w:t>un travail qui recueille les d</w:t>
      </w:r>
      <w:r w:rsidR="006A7CE3" w:rsidRPr="006A7CE3">
        <w:rPr>
          <w:i/>
          <w:sz w:val="20"/>
        </w:rPr>
        <w:t>onnées uniquement sur des dossiers du CHU</w:t>
      </w:r>
      <w:r w:rsidR="0035593E">
        <w:rPr>
          <w:i/>
          <w:sz w:val="20"/>
        </w:rPr>
        <w:t>,</w:t>
      </w:r>
      <w:r w:rsidR="006A7CE3" w:rsidRPr="006A7CE3">
        <w:rPr>
          <w:i/>
          <w:sz w:val="20"/>
        </w:rPr>
        <w:t xml:space="preserve"> mais qui s’intéresse à l’adressage de patients par les médecins généralistes vers le CHU.</w:t>
      </w:r>
    </w:p>
    <w:p w14:paraId="5DFFA609" w14:textId="77777777" w:rsidR="00877729" w:rsidRPr="006A7CE3" w:rsidRDefault="00877729" w:rsidP="0045438F">
      <w:pPr>
        <w:spacing w:line="240" w:lineRule="auto"/>
        <w:jc w:val="both"/>
        <w:rPr>
          <w:i/>
          <w:sz w:val="20"/>
        </w:rPr>
      </w:pPr>
    </w:p>
    <w:p w14:paraId="33919CAF" w14:textId="77777777" w:rsidR="00410AED" w:rsidRPr="006A7CE3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>2. Première</w:t>
      </w:r>
      <w:r w:rsidR="00410AED" w:rsidRPr="006A7CE3">
        <w:rPr>
          <w:b/>
        </w:rPr>
        <w:t xml:space="preserve"> étape : trouver un sujet ET directeur/une directrice </w:t>
      </w:r>
    </w:p>
    <w:p w14:paraId="7434B140" w14:textId="77777777" w:rsidR="00E32A45" w:rsidRDefault="006A7CE3" w:rsidP="0045438F">
      <w:pPr>
        <w:spacing w:line="240" w:lineRule="auto"/>
        <w:jc w:val="both"/>
      </w:pPr>
      <w:r>
        <w:t xml:space="preserve">Le directeur doit être un médecin thésé, quelle que soit son origine géographique et </w:t>
      </w:r>
      <w:r w:rsidR="00E32A45">
        <w:t>sa spécialité.</w:t>
      </w:r>
    </w:p>
    <w:p w14:paraId="2480CFA0" w14:textId="77777777" w:rsidR="006A7CE3" w:rsidRDefault="006A7CE3" w:rsidP="0045438F">
      <w:pPr>
        <w:spacing w:after="60" w:line="240" w:lineRule="auto"/>
        <w:jc w:val="both"/>
      </w:pPr>
      <w:r>
        <w:t xml:space="preserve">Deux modalités possibles : </w:t>
      </w:r>
    </w:p>
    <w:p w14:paraId="7CA9EBD6" w14:textId="77777777" w:rsidR="006A7CE3" w:rsidRDefault="006A7CE3" w:rsidP="0045438F">
      <w:pPr>
        <w:spacing w:after="0" w:line="240" w:lineRule="auto"/>
        <w:jc w:val="both"/>
      </w:pPr>
      <w:r>
        <w:t>- Vous appréciez un médecin (connaissance, maître de stage, enseignant, etc</w:t>
      </w:r>
      <w:r w:rsidR="0035593E">
        <w:t>.</w:t>
      </w:r>
      <w:r>
        <w:t>)</w:t>
      </w:r>
      <w:r w:rsidR="0035593E">
        <w:t>,</w:t>
      </w:r>
      <w:r>
        <w:t xml:space="preserve"> </w:t>
      </w:r>
      <w:r w:rsidR="004E6CA2">
        <w:t xml:space="preserve">mais pas d’idée de sujet : </w:t>
      </w:r>
      <w:r>
        <w:t xml:space="preserve">vous lui demandez s’il n’aurait pas un sujet à vous proposer pour vous diriger dessus. </w:t>
      </w:r>
    </w:p>
    <w:p w14:paraId="1DC97238" w14:textId="77777777" w:rsidR="004E6CA2" w:rsidRPr="004E6CA2" w:rsidRDefault="004E6CA2" w:rsidP="0045438F">
      <w:pPr>
        <w:spacing w:after="60" w:line="240" w:lineRule="auto"/>
        <w:jc w:val="both"/>
        <w:rPr>
          <w:i/>
          <w:sz w:val="20"/>
        </w:rPr>
      </w:pPr>
      <w:r w:rsidRPr="004E6CA2">
        <w:rPr>
          <w:i/>
          <w:sz w:val="20"/>
        </w:rPr>
        <w:t xml:space="preserve">NB. Le pishing mail à la recherche d’un sujet est le meilleur moyen de recevoir une réponse négative. </w:t>
      </w:r>
    </w:p>
    <w:p w14:paraId="542FA363" w14:textId="2B585603" w:rsidR="004E6CA2" w:rsidRDefault="006A7CE3" w:rsidP="0045438F">
      <w:pPr>
        <w:spacing w:after="0" w:line="240" w:lineRule="auto"/>
        <w:jc w:val="both"/>
      </w:pPr>
      <w:r>
        <w:t>- Vous avez un</w:t>
      </w:r>
      <w:r w:rsidR="004E6CA2">
        <w:t xml:space="preserve"> </w:t>
      </w:r>
      <w:r>
        <w:t>centre d’</w:t>
      </w:r>
      <w:r w:rsidR="004E6CA2">
        <w:t xml:space="preserve">intérêt/un thème </w:t>
      </w:r>
      <w:r>
        <w:t xml:space="preserve">qui </w:t>
      </w:r>
      <w:r w:rsidR="004E6CA2">
        <w:t>vous tient à cœur</w:t>
      </w:r>
      <w:r w:rsidR="0035593E">
        <w:t>,</w:t>
      </w:r>
      <w:r w:rsidR="004E6CA2">
        <w:t xml:space="preserve"> mais pas de directeur : cherchez rapidement un directeur qui soit motivé par votre sujet. </w:t>
      </w:r>
      <w:r w:rsidR="00FB2567">
        <w:t>Votre tuteur, vos MSU et vos collègues de GEP peuvent vous aider !</w:t>
      </w:r>
    </w:p>
    <w:p w14:paraId="429BED06" w14:textId="77777777" w:rsidR="006A7CE3" w:rsidRDefault="004E6CA2" w:rsidP="0045438F">
      <w:pPr>
        <w:spacing w:line="240" w:lineRule="auto"/>
        <w:jc w:val="both"/>
        <w:rPr>
          <w:i/>
          <w:sz w:val="20"/>
        </w:rPr>
      </w:pPr>
      <w:r w:rsidRPr="004E6CA2">
        <w:rPr>
          <w:i/>
          <w:sz w:val="20"/>
        </w:rPr>
        <w:t xml:space="preserve">NB. N’avancez pas trop seul sur votre sujet : plus votre sujet est précis, plus il est difficile de trouver quelqu’un qui accepte de vous accompagner. </w:t>
      </w:r>
    </w:p>
    <w:p w14:paraId="72E0D3C5" w14:textId="77777777" w:rsidR="00877729" w:rsidRPr="004E6CA2" w:rsidRDefault="00877729" w:rsidP="0045438F">
      <w:pPr>
        <w:spacing w:line="240" w:lineRule="auto"/>
        <w:jc w:val="both"/>
        <w:rPr>
          <w:i/>
          <w:sz w:val="20"/>
        </w:rPr>
      </w:pPr>
    </w:p>
    <w:p w14:paraId="36292F8B" w14:textId="77777777" w:rsidR="00410AED" w:rsidRPr="00E32A45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3. </w:t>
      </w:r>
      <w:r w:rsidR="00E32A45" w:rsidRPr="00E32A45">
        <w:rPr>
          <w:b/>
        </w:rPr>
        <w:t>Dès que le sujet et le directeur sont trouvés : r</w:t>
      </w:r>
      <w:r w:rsidR="00CE2AB0" w:rsidRPr="00E32A45">
        <w:rPr>
          <w:b/>
        </w:rPr>
        <w:t>édiger sa fiche de thèse</w:t>
      </w:r>
      <w:r w:rsidR="00E32A45" w:rsidRPr="00E32A45">
        <w:rPr>
          <w:b/>
        </w:rPr>
        <w:t xml:space="preserve"> </w:t>
      </w:r>
    </w:p>
    <w:p w14:paraId="6511AE74" w14:textId="4C2FA996" w:rsidR="00E32A45" w:rsidRDefault="00E32A45" w:rsidP="0045438F">
      <w:pPr>
        <w:spacing w:after="60" w:line="240" w:lineRule="auto"/>
        <w:jc w:val="both"/>
      </w:pPr>
      <w:r>
        <w:t>- Récupérer la fiche de thèse vierge</w:t>
      </w:r>
      <w:r w:rsidR="004730E1">
        <w:t xml:space="preserve"> téléchargeable sur le site du DMG</w:t>
      </w:r>
      <w:r>
        <w:t xml:space="preserve">. </w:t>
      </w:r>
    </w:p>
    <w:p w14:paraId="725E7280" w14:textId="77777777" w:rsidR="00E32A45" w:rsidRDefault="00E32A45" w:rsidP="0045438F">
      <w:pPr>
        <w:spacing w:after="60" w:line="240" w:lineRule="auto"/>
        <w:jc w:val="both"/>
      </w:pPr>
      <w:r>
        <w:t>- Remplir la fiche : coordonnées du thésard et du directeur, éléments de justification, objectif, méthode, résultats attendus</w:t>
      </w:r>
    </w:p>
    <w:p w14:paraId="2C5B9AF4" w14:textId="77777777" w:rsidR="00E32A45" w:rsidRDefault="00E32A45" w:rsidP="0045438F">
      <w:pPr>
        <w:spacing w:after="60" w:line="240" w:lineRule="auto"/>
        <w:jc w:val="both"/>
      </w:pPr>
      <w:r>
        <w:t xml:space="preserve">- Adresser la fiche remplie au secrétariat de médecine générale : </w:t>
      </w:r>
      <w:hyperlink r:id="rId7" w:history="1">
        <w:r w:rsidR="009701A8" w:rsidRPr="009701A8">
          <w:rPr>
            <w:rStyle w:val="Lienhypertexte"/>
          </w:rPr>
          <w:t>medgen42@univ-st-etienne.fr</w:t>
        </w:r>
      </w:hyperlink>
      <w:r>
        <w:t xml:space="preserve"> </w:t>
      </w:r>
    </w:p>
    <w:p w14:paraId="51543F42" w14:textId="41354653" w:rsidR="00CE2AB0" w:rsidRPr="00B35D34" w:rsidRDefault="00E32A45" w:rsidP="0045438F">
      <w:pPr>
        <w:spacing w:line="240" w:lineRule="auto"/>
        <w:jc w:val="both"/>
        <w:rPr>
          <w:i/>
          <w:sz w:val="20"/>
        </w:rPr>
      </w:pPr>
      <w:r w:rsidRPr="00877729">
        <w:rPr>
          <w:i/>
          <w:sz w:val="20"/>
        </w:rPr>
        <w:t xml:space="preserve">NB. Cette fiche permet au DMG de savoir sur quoi vous vous engagez et avec qui. Son contenu n’est pas engageant : il peut évoluer au fil de la maturation de votre travail. </w:t>
      </w:r>
      <w:r w:rsidR="00B35D34" w:rsidRPr="00B35D34">
        <w:rPr>
          <w:i/>
          <w:sz w:val="20"/>
        </w:rPr>
        <w:t>Le DMG se réserve le droit de refuser votre sujet si celui-ci est trop éloigné de la médecine générale et/ou sans rapport avec votre projet professionnel.</w:t>
      </w:r>
    </w:p>
    <w:p w14:paraId="280B9ECB" w14:textId="77777777" w:rsidR="00877729" w:rsidRDefault="00877729" w:rsidP="0045438F">
      <w:pPr>
        <w:spacing w:line="240" w:lineRule="auto"/>
        <w:jc w:val="both"/>
      </w:pPr>
    </w:p>
    <w:p w14:paraId="60D7A716" w14:textId="77777777" w:rsidR="00E32A45" w:rsidRPr="00F630C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4. </w:t>
      </w:r>
      <w:r w:rsidR="00E32A45" w:rsidRPr="00F630CE">
        <w:rPr>
          <w:b/>
        </w:rPr>
        <w:t>Approfondir sa bibliographie et rédiger le protocole de son étude</w:t>
      </w:r>
    </w:p>
    <w:p w14:paraId="4C31F2EC" w14:textId="5F5E49E6" w:rsidR="00E32A45" w:rsidRDefault="00E32A45" w:rsidP="0045438F">
      <w:pPr>
        <w:spacing w:line="240" w:lineRule="auto"/>
        <w:jc w:val="both"/>
      </w:pPr>
      <w:r>
        <w:t>La cellule d’aide bibliographie (cf</w:t>
      </w:r>
      <w:r w:rsidR="0035593E">
        <w:t>.</w:t>
      </w:r>
      <w:r>
        <w:t xml:space="preserve"> programme de cours) pe</w:t>
      </w:r>
      <w:r w:rsidR="005F2A17">
        <w:t xml:space="preserve">rmet de vous </w:t>
      </w:r>
      <w:r w:rsidR="00771DD0">
        <w:t xml:space="preserve">faire </w:t>
      </w:r>
      <w:r w:rsidR="005F2A17">
        <w:t>découvrir des outi</w:t>
      </w:r>
      <w:r>
        <w:t>l</w:t>
      </w:r>
      <w:r w:rsidR="005F2A17">
        <w:t>s</w:t>
      </w:r>
      <w:r>
        <w:t xml:space="preserve"> de recherche bibliographique (Pubmed</w:t>
      </w:r>
      <w:r w:rsidR="00675D97">
        <w:t>®</w:t>
      </w:r>
      <w:r>
        <w:t>, Lissa</w:t>
      </w:r>
      <w:r w:rsidR="00675D97">
        <w:t>®</w:t>
      </w:r>
      <w:r>
        <w:t>) et de gestion bibliographique (Zotero</w:t>
      </w:r>
      <w:r w:rsidR="00675D97">
        <w:t>®</w:t>
      </w:r>
      <w:r>
        <w:t xml:space="preserve">) qui peuvent vous faire gagner beaucoup de temps. </w:t>
      </w:r>
    </w:p>
    <w:p w14:paraId="3F45ED66" w14:textId="77777777" w:rsidR="00675D97" w:rsidRDefault="00E32A45" w:rsidP="0045438F">
      <w:pPr>
        <w:spacing w:after="0" w:line="240" w:lineRule="auto"/>
        <w:jc w:val="both"/>
      </w:pPr>
      <w:r>
        <w:t xml:space="preserve">Le protocole est en quelque sorte la recette de cuisine que vous allez appliquer ensuite. </w:t>
      </w:r>
      <w:r w:rsidR="00F630CE">
        <w:t xml:space="preserve">Il s’agit de tout anticiper pour ne pas être pris de court par la suite. </w:t>
      </w:r>
    </w:p>
    <w:p w14:paraId="672FF95D" w14:textId="78B12AA8" w:rsidR="00E32A45" w:rsidRDefault="00F630CE" w:rsidP="0045438F">
      <w:pPr>
        <w:spacing w:line="240" w:lineRule="auto"/>
        <w:jc w:val="both"/>
      </w:pPr>
      <w:r>
        <w:lastRenderedPageBreak/>
        <w:t xml:space="preserve">Exemple de sommaire de protocole : titre, rationnel/éléments de justification, </w:t>
      </w:r>
      <w:r w:rsidR="005F2A17">
        <w:t>objectifs, type d’étude, population, échantillon (critères d’inclusion et de non-inclusion), variables recueillies et critères de jugement (si thèse quantitative), organisation, modalités d’analyse, démarches éthique</w:t>
      </w:r>
      <w:r w:rsidR="0035593E">
        <w:t>s</w:t>
      </w:r>
      <w:r w:rsidR="005F2A17">
        <w:t xml:space="preserve"> et réglementaires, calendrier, budget, références bibliographiques, questionnaire/guide d’entretien.</w:t>
      </w:r>
    </w:p>
    <w:p w14:paraId="367E4405" w14:textId="77777777" w:rsidR="00877729" w:rsidRDefault="00877729" w:rsidP="0045438F">
      <w:pPr>
        <w:spacing w:line="240" w:lineRule="auto"/>
        <w:jc w:val="both"/>
      </w:pPr>
    </w:p>
    <w:p w14:paraId="2504487D" w14:textId="77777777" w:rsidR="005F2A17" w:rsidRPr="00BE017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5. </w:t>
      </w:r>
      <w:r w:rsidR="00BE017E" w:rsidRPr="00BE017E">
        <w:rPr>
          <w:b/>
        </w:rPr>
        <w:t>Réaliser les démarches éthiques et réglementaires</w:t>
      </w:r>
    </w:p>
    <w:p w14:paraId="69D461E3" w14:textId="14A69313" w:rsidR="00BE017E" w:rsidRDefault="00BE017E" w:rsidP="0045438F">
      <w:pPr>
        <w:spacing w:line="240" w:lineRule="auto"/>
        <w:jc w:val="both"/>
      </w:pPr>
      <w:r>
        <w:t xml:space="preserve">Deux démarches doivent être réalisées :  </w:t>
      </w:r>
      <w:r w:rsidR="009E287A">
        <w:tab/>
      </w:r>
      <w:r w:rsidR="009E287A">
        <w:br/>
        <w:t>1-</w:t>
      </w:r>
      <w:r>
        <w:t xml:space="preserve"> Déclarer le traitement de données auprès du représentant local Informatique et libertés</w:t>
      </w:r>
      <w:r w:rsidR="00A27A44">
        <w:t>.</w:t>
      </w:r>
      <w:r w:rsidR="00A27A44">
        <w:tab/>
        <w:t xml:space="preserve"> </w:t>
      </w:r>
      <w:r w:rsidR="00A27A44">
        <w:br/>
      </w:r>
      <w:r w:rsidR="00A27A44" w:rsidRPr="0045438F">
        <w:rPr>
          <w:i/>
          <w:iCs/>
        </w:rPr>
        <w:t xml:space="preserve">La déclaration se fait en ligne sur l’application </w:t>
      </w:r>
      <w:hyperlink r:id="rId8" w:history="1">
        <w:r w:rsidR="00A27A44" w:rsidRPr="0045438F">
          <w:rPr>
            <w:rStyle w:val="Lienhypertexte"/>
            <w:i/>
            <w:iCs/>
          </w:rPr>
          <w:t>https://rgpd.univ-st-etienne.fr/</w:t>
        </w:r>
      </w:hyperlink>
      <w:r w:rsidR="00A27A44" w:rsidRPr="0045438F">
        <w:rPr>
          <w:i/>
          <w:iCs/>
        </w:rPr>
        <w:t xml:space="preserve"> Il vous sera demandé de créer un compte personnel sur l’application en saisissant votre adresse universitaire et le login de l’université. Un document expliquant la procédure est consultable sur </w:t>
      </w:r>
      <w:hyperlink r:id="rId9" w:history="1">
        <w:r w:rsidR="00A27A44" w:rsidRPr="0045438F">
          <w:rPr>
            <w:rStyle w:val="Lienhypertexte"/>
            <w:i/>
            <w:iCs/>
          </w:rPr>
          <w:t>https://docnumetu.univ-st-etienne.fr/fr/l-acces-aux-outils/declarer-un-traitement-informatique-et-libertes-2.html</w:t>
        </w:r>
      </w:hyperlink>
      <w:r w:rsidR="00A27A44" w:rsidRPr="0045438F">
        <w:rPr>
          <w:i/>
          <w:iCs/>
        </w:rPr>
        <w:t xml:space="preserve"> En cas de besoin, il est possible de contacter Monique Celle, correspondant local informatique et libertés : </w:t>
      </w:r>
      <w:hyperlink r:id="rId10" w:history="1">
        <w:r w:rsidR="00A27A44" w:rsidRPr="0045438F">
          <w:rPr>
            <w:rStyle w:val="Lienhypertexte"/>
            <w:i/>
            <w:iCs/>
          </w:rPr>
          <w:t>cil@univ-st-etienne.fr</w:t>
        </w:r>
      </w:hyperlink>
      <w:r w:rsidR="00A27A44">
        <w:t xml:space="preserve"> </w:t>
      </w:r>
      <w:r w:rsidR="00C62D00">
        <w:br/>
        <w:t xml:space="preserve">La CNIL a mis en ligne une page qui résume tous les enjeux du traitement des données dans le cadre d’une thèse : </w:t>
      </w:r>
      <w:hyperlink r:id="rId11" w:history="1">
        <w:r w:rsidR="00C62D00" w:rsidRPr="00C715B5">
          <w:rPr>
            <w:rStyle w:val="Lienhypertexte"/>
          </w:rPr>
          <w:t>https://www.cnil.fr/fr/recherche-etude-ou-evaluation-dans-le-domaine-de-la-sante-comment-proceder-pour-une-these-ou-un</w:t>
        </w:r>
      </w:hyperlink>
      <w:r w:rsidR="00C62D00">
        <w:t xml:space="preserve"> </w:t>
      </w:r>
      <w:r w:rsidR="009E287A">
        <w:br/>
        <w:t>2</w:t>
      </w:r>
      <w:r>
        <w:t>- Obtenir l’accord éthique</w:t>
      </w:r>
      <w:r w:rsidR="00FB2567">
        <w:t xml:space="preserve"> </w:t>
      </w:r>
      <w:r>
        <w:t xml:space="preserve">: auprès du comité d’éthique (Terre d’éthique </w:t>
      </w:r>
      <w:hyperlink r:id="rId12" w:history="1">
        <w:r w:rsidRPr="00910DF8">
          <w:rPr>
            <w:rStyle w:val="Lienhypertexte"/>
          </w:rPr>
          <w:t>terre.ethique@chuse.fr</w:t>
        </w:r>
      </w:hyperlink>
      <w:r>
        <w:t xml:space="preserve">) voire parfois (en cas d’étude interventionnelle notamment) du Comité de protection des personnes. </w:t>
      </w:r>
    </w:p>
    <w:p w14:paraId="13BC4065" w14:textId="77777777" w:rsidR="00877729" w:rsidRDefault="00877729" w:rsidP="0045438F">
      <w:pPr>
        <w:spacing w:line="240" w:lineRule="auto"/>
        <w:jc w:val="both"/>
      </w:pPr>
    </w:p>
    <w:p w14:paraId="37FF30FE" w14:textId="77777777" w:rsidR="00BE017E" w:rsidRPr="00BE017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6. </w:t>
      </w:r>
      <w:r w:rsidR="00BE017E">
        <w:rPr>
          <w:b/>
        </w:rPr>
        <w:t xml:space="preserve">Réaliser </w:t>
      </w:r>
      <w:r w:rsidR="00BE017E" w:rsidRPr="00BE017E">
        <w:rPr>
          <w:b/>
        </w:rPr>
        <w:t>le recueil et l’analyse</w:t>
      </w:r>
    </w:p>
    <w:p w14:paraId="540752FE" w14:textId="77777777" w:rsidR="00BE017E" w:rsidRDefault="00BE017E" w:rsidP="0045438F">
      <w:pPr>
        <w:spacing w:line="240" w:lineRule="auto"/>
        <w:jc w:val="both"/>
      </w:pPr>
      <w:r>
        <w:t xml:space="preserve">En cas de recherche qualitative, le recueil et l’analyse peuvent se faire dans le même temps. </w:t>
      </w:r>
    </w:p>
    <w:p w14:paraId="3807C87E" w14:textId="77777777" w:rsidR="00877729" w:rsidRDefault="00877729" w:rsidP="0045438F">
      <w:pPr>
        <w:spacing w:line="240" w:lineRule="auto"/>
        <w:jc w:val="both"/>
      </w:pPr>
    </w:p>
    <w:p w14:paraId="1DA36B08" w14:textId="77777777" w:rsidR="00BE017E" w:rsidRPr="00BE017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7. </w:t>
      </w:r>
      <w:r w:rsidR="00BE017E" w:rsidRPr="00BE017E">
        <w:rPr>
          <w:b/>
        </w:rPr>
        <w:t xml:space="preserve">Rédiger </w:t>
      </w:r>
    </w:p>
    <w:p w14:paraId="214DE2E8" w14:textId="5BF20764" w:rsidR="00BE017E" w:rsidRDefault="00BE017E" w:rsidP="0045438F">
      <w:pPr>
        <w:spacing w:line="240" w:lineRule="auto"/>
        <w:jc w:val="both"/>
      </w:pPr>
      <w:r>
        <w:t xml:space="preserve">La trame de thèse est disponible sur </w:t>
      </w:r>
      <w:r w:rsidR="004730E1">
        <w:t>le site du DMG.</w:t>
      </w:r>
    </w:p>
    <w:p w14:paraId="44069F52" w14:textId="77777777" w:rsidR="00877729" w:rsidRDefault="00877729" w:rsidP="0045438F">
      <w:pPr>
        <w:spacing w:line="240" w:lineRule="auto"/>
        <w:jc w:val="both"/>
      </w:pPr>
    </w:p>
    <w:p w14:paraId="4D1AD9BD" w14:textId="77777777" w:rsidR="00BE017E" w:rsidRPr="00BE017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8. </w:t>
      </w:r>
      <w:r w:rsidR="00BE017E" w:rsidRPr="00BE017E">
        <w:rPr>
          <w:b/>
        </w:rPr>
        <w:t>Constituer son jury de thèse</w:t>
      </w:r>
    </w:p>
    <w:p w14:paraId="1A201668" w14:textId="6E64FC5E" w:rsidR="00BE017E" w:rsidRDefault="00675D97" w:rsidP="0045438F">
      <w:pPr>
        <w:spacing w:line="240" w:lineRule="auto"/>
        <w:jc w:val="both"/>
      </w:pPr>
      <w:r>
        <w:t>À</w:t>
      </w:r>
      <w:r w:rsidR="00BE017E">
        <w:t xml:space="preserve"> réaliser avec son directeur, pour veiller à ne pas oublier de personne incontournable et à ne pas réunir des personnalités incompatibles. </w:t>
      </w:r>
    </w:p>
    <w:p w14:paraId="5C085917" w14:textId="77777777" w:rsidR="00BE017E" w:rsidRDefault="00BE017E" w:rsidP="0045438F">
      <w:pPr>
        <w:spacing w:line="240" w:lineRule="auto"/>
        <w:jc w:val="both"/>
      </w:pPr>
      <w:r>
        <w:t xml:space="preserve">Structure du jury : </w:t>
      </w:r>
    </w:p>
    <w:tbl>
      <w:tblPr>
        <w:tblStyle w:val="Grilledutableau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49"/>
        <w:gridCol w:w="1507"/>
        <w:gridCol w:w="1354"/>
        <w:gridCol w:w="1701"/>
      </w:tblGrid>
      <w:tr w:rsidR="009701A8" w14:paraId="6D1F2265" w14:textId="77777777" w:rsidTr="00B35D34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74EA1DE" w14:textId="77777777" w:rsidR="0035593E" w:rsidRDefault="0035593E" w:rsidP="0045438F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EA4ABAC" w14:textId="77777777" w:rsidR="0035593E" w:rsidRDefault="009701A8" w:rsidP="0045438F">
            <w:pPr>
              <w:jc w:val="center"/>
            </w:pPr>
            <w:r>
              <w:t>PU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7E5AC025" w14:textId="77777777" w:rsidR="0035593E" w:rsidRDefault="009701A8" w:rsidP="0045438F">
            <w:pPr>
              <w:jc w:val="center"/>
            </w:pPr>
            <w:r>
              <w:t>PA/MCU/MCA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7A8A4366" w14:textId="77777777" w:rsidR="0035593E" w:rsidRDefault="009701A8" w:rsidP="0045438F">
            <w:pPr>
              <w:jc w:val="center"/>
            </w:pPr>
            <w:r>
              <w:t>Médecin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4898EA" w14:textId="77777777" w:rsidR="0035593E" w:rsidRDefault="009701A8" w:rsidP="0045438F">
            <w:pPr>
              <w:jc w:val="center"/>
            </w:pPr>
            <w:r>
              <w:t>Non médecin</w:t>
            </w:r>
          </w:p>
        </w:tc>
      </w:tr>
      <w:tr w:rsidR="009701A8" w14:paraId="446E3E83" w14:textId="77777777" w:rsidTr="00B35D34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</w:tcPr>
          <w:p w14:paraId="5E777147" w14:textId="77777777" w:rsidR="0035593E" w:rsidRDefault="0035593E" w:rsidP="0045438F">
            <w:r>
              <w:t>Président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2741A2E9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1C1390A0" w14:textId="77777777" w:rsidR="0035593E" w:rsidRDefault="0035593E" w:rsidP="0045438F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35A004A5" w14:textId="77777777" w:rsidR="0035593E" w:rsidRDefault="0035593E" w:rsidP="004543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DF0276" w14:textId="77777777" w:rsidR="0035593E" w:rsidRDefault="0035593E" w:rsidP="0045438F">
            <w:pPr>
              <w:jc w:val="center"/>
            </w:pPr>
          </w:p>
        </w:tc>
      </w:tr>
      <w:tr w:rsidR="009701A8" w14:paraId="68499345" w14:textId="77777777" w:rsidTr="00B35D34">
        <w:trPr>
          <w:trHeight w:val="283"/>
        </w:trPr>
        <w:tc>
          <w:tcPr>
            <w:tcW w:w="3261" w:type="dxa"/>
          </w:tcPr>
          <w:p w14:paraId="5460F2AB" w14:textId="77777777" w:rsidR="0035593E" w:rsidRDefault="0035593E" w:rsidP="0045438F">
            <w:r>
              <w:t>1</w:t>
            </w:r>
            <w:r w:rsidRPr="009701A8">
              <w:rPr>
                <w:vertAlign w:val="superscript"/>
              </w:rPr>
              <w:t>er</w:t>
            </w:r>
            <w:r>
              <w:rPr>
                <w:vertAlign w:val="superscript"/>
              </w:rPr>
              <w:t xml:space="preserve"> </w:t>
            </w:r>
            <w:r>
              <w:t>assesseur</w:t>
            </w:r>
          </w:p>
        </w:tc>
        <w:tc>
          <w:tcPr>
            <w:tcW w:w="1249" w:type="dxa"/>
          </w:tcPr>
          <w:p w14:paraId="264A641D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0EEF65C9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11207ACF" w14:textId="0EC323E4" w:rsidR="0035593E" w:rsidRDefault="00C85C52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613FFD0" w14:textId="77777777" w:rsidR="0035593E" w:rsidRDefault="0035593E" w:rsidP="0045438F">
            <w:pPr>
              <w:jc w:val="center"/>
            </w:pPr>
          </w:p>
        </w:tc>
      </w:tr>
      <w:tr w:rsidR="009701A8" w14:paraId="307F7EC0" w14:textId="77777777" w:rsidTr="00B35D34">
        <w:trPr>
          <w:trHeight w:val="283"/>
        </w:trPr>
        <w:tc>
          <w:tcPr>
            <w:tcW w:w="3261" w:type="dxa"/>
          </w:tcPr>
          <w:p w14:paraId="69A3AD8F" w14:textId="77777777" w:rsidR="0035593E" w:rsidRDefault="0035593E" w:rsidP="0045438F">
            <w:r>
              <w:t>2</w:t>
            </w:r>
            <w:r w:rsidRPr="009701A8">
              <w:rPr>
                <w:vertAlign w:val="superscript"/>
              </w:rPr>
              <w:t>e</w:t>
            </w:r>
            <w:r>
              <w:t xml:space="preserve"> assesseur</w:t>
            </w:r>
          </w:p>
        </w:tc>
        <w:tc>
          <w:tcPr>
            <w:tcW w:w="1249" w:type="dxa"/>
          </w:tcPr>
          <w:p w14:paraId="47462B94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6A02A46E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026AFDBC" w14:textId="6F44A76F" w:rsidR="0035593E" w:rsidRDefault="00C85C52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D94CCBE" w14:textId="77777777" w:rsidR="0035593E" w:rsidRDefault="0035593E" w:rsidP="0045438F">
            <w:pPr>
              <w:jc w:val="center"/>
            </w:pPr>
          </w:p>
        </w:tc>
      </w:tr>
      <w:tr w:rsidR="009701A8" w14:paraId="66FAC8EC" w14:textId="77777777" w:rsidTr="00B35D34">
        <w:trPr>
          <w:trHeight w:val="283"/>
        </w:trPr>
        <w:tc>
          <w:tcPr>
            <w:tcW w:w="3261" w:type="dxa"/>
          </w:tcPr>
          <w:p w14:paraId="262E618B" w14:textId="77347563" w:rsidR="0035593E" w:rsidRDefault="009E6747" w:rsidP="0045438F">
            <w:r>
              <w:t xml:space="preserve">Optionnel : </w:t>
            </w:r>
            <w:r w:rsidR="00C85C52">
              <w:t>1</w:t>
            </w:r>
            <w:r w:rsidR="00C85C52" w:rsidRPr="009701A8">
              <w:rPr>
                <w:vertAlign w:val="superscript"/>
              </w:rPr>
              <w:t>er</w:t>
            </w:r>
            <w:r w:rsidR="00C85C52">
              <w:rPr>
                <w:vertAlign w:val="superscript"/>
              </w:rPr>
              <w:t xml:space="preserve"> </w:t>
            </w:r>
            <w:r w:rsidR="00C85C52">
              <w:t>invité</w:t>
            </w:r>
          </w:p>
        </w:tc>
        <w:tc>
          <w:tcPr>
            <w:tcW w:w="1249" w:type="dxa"/>
          </w:tcPr>
          <w:p w14:paraId="5C60EA82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0D117557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71CF4499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3787920D" w14:textId="37D843B6" w:rsidR="0035593E" w:rsidRDefault="00C85C52" w:rsidP="0045438F">
            <w:pPr>
              <w:jc w:val="center"/>
            </w:pPr>
            <w:r>
              <w:t>X</w:t>
            </w:r>
          </w:p>
        </w:tc>
      </w:tr>
      <w:tr w:rsidR="009701A8" w14:paraId="40B66033" w14:textId="77777777" w:rsidTr="00B35D34">
        <w:trPr>
          <w:trHeight w:val="283"/>
        </w:trPr>
        <w:tc>
          <w:tcPr>
            <w:tcW w:w="3261" w:type="dxa"/>
          </w:tcPr>
          <w:p w14:paraId="3DFAFB86" w14:textId="6CE2EE15" w:rsidR="0035593E" w:rsidRDefault="009E6747" w:rsidP="0045438F">
            <w:r>
              <w:t xml:space="preserve">Optionnel : </w:t>
            </w:r>
            <w:r w:rsidR="00C85C52">
              <w:t>2</w:t>
            </w:r>
            <w:r w:rsidR="00C85C52" w:rsidRPr="009701A8">
              <w:rPr>
                <w:vertAlign w:val="superscript"/>
              </w:rPr>
              <w:t>e</w:t>
            </w:r>
            <w:r w:rsidR="00C85C52">
              <w:rPr>
                <w:vertAlign w:val="superscript"/>
              </w:rPr>
              <w:t xml:space="preserve"> </w:t>
            </w:r>
            <w:r w:rsidR="00C85C52">
              <w:t>invité</w:t>
            </w:r>
          </w:p>
        </w:tc>
        <w:tc>
          <w:tcPr>
            <w:tcW w:w="1249" w:type="dxa"/>
          </w:tcPr>
          <w:p w14:paraId="60900BD5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1122E783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03184D1B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652C758" w14:textId="77777777" w:rsidR="0035593E" w:rsidRDefault="009701A8" w:rsidP="0045438F">
            <w:pPr>
              <w:jc w:val="center"/>
            </w:pPr>
            <w:r>
              <w:t>X</w:t>
            </w:r>
          </w:p>
        </w:tc>
      </w:tr>
      <w:tr w:rsidR="009701A8" w14:paraId="0D08D438" w14:textId="77777777" w:rsidTr="00B35D34">
        <w:trPr>
          <w:trHeight w:val="283"/>
        </w:trPr>
        <w:tc>
          <w:tcPr>
            <w:tcW w:w="3261" w:type="dxa"/>
            <w:tcBorders>
              <w:bottom w:val="single" w:sz="4" w:space="0" w:color="auto"/>
            </w:tcBorders>
          </w:tcPr>
          <w:p w14:paraId="2F955E38" w14:textId="700EE4AD" w:rsidR="0035593E" w:rsidRDefault="009E6747" w:rsidP="0045438F">
            <w:r>
              <w:t xml:space="preserve">Optionnel : </w:t>
            </w:r>
            <w:r w:rsidR="00C85C52">
              <w:t>3</w:t>
            </w:r>
            <w:r w:rsidR="0035593E" w:rsidRPr="009701A8">
              <w:rPr>
                <w:vertAlign w:val="superscript"/>
              </w:rPr>
              <w:t>e</w:t>
            </w:r>
            <w:r w:rsidR="0035593E">
              <w:rPr>
                <w:vertAlign w:val="superscript"/>
              </w:rPr>
              <w:t xml:space="preserve"> </w:t>
            </w:r>
            <w:r w:rsidR="0035593E">
              <w:t>invité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104C4E15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A5C36E5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1EB2E308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BC7CB4" w14:textId="77777777" w:rsidR="0035593E" w:rsidRDefault="009701A8" w:rsidP="0045438F">
            <w:pPr>
              <w:jc w:val="center"/>
            </w:pPr>
            <w:r>
              <w:t>X</w:t>
            </w:r>
          </w:p>
        </w:tc>
      </w:tr>
    </w:tbl>
    <w:p w14:paraId="26C21F1E" w14:textId="77777777" w:rsidR="004A5746" w:rsidRPr="009701A8" w:rsidRDefault="009701A8" w:rsidP="0045438F">
      <w:pPr>
        <w:spacing w:line="240" w:lineRule="auto"/>
        <w:ind w:right="-142"/>
        <w:jc w:val="both"/>
        <w:rPr>
          <w:i/>
          <w:sz w:val="18"/>
        </w:rPr>
      </w:pPr>
      <w:r w:rsidRPr="009701A8">
        <w:rPr>
          <w:i/>
          <w:sz w:val="18"/>
        </w:rPr>
        <w:t>PU : professeur titulaire ; PA : professeur associé ; MCU : maître de conférences titulaire, MCA : maître de conférences associé</w:t>
      </w:r>
    </w:p>
    <w:p w14:paraId="2D1F1E08" w14:textId="77777777" w:rsidR="009E287A" w:rsidRDefault="009055F6" w:rsidP="0045438F">
      <w:pPr>
        <w:spacing w:line="240" w:lineRule="auto"/>
        <w:jc w:val="both"/>
      </w:pPr>
      <w:r>
        <w:t xml:space="preserve">Contacter son jury (pendant le recueil, l’analyse ou la rédaction, selon l’avis du directeur) pour obtenir leur accord de principe. </w:t>
      </w:r>
    </w:p>
    <w:p w14:paraId="14E79FA1" w14:textId="7E9ECCAE" w:rsidR="009055F6" w:rsidRDefault="009055F6" w:rsidP="0045438F">
      <w:pPr>
        <w:spacing w:line="240" w:lineRule="auto"/>
        <w:jc w:val="both"/>
      </w:pPr>
      <w:r>
        <w:t xml:space="preserve">Préréserver des dates de soutenance potentielle et vérifier la disponibilité des membres du jury pour fixer la date définitive de soutenance. </w:t>
      </w:r>
    </w:p>
    <w:p w14:paraId="14E395C5" w14:textId="77777777" w:rsidR="000669E0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lastRenderedPageBreak/>
        <w:t>9. Un</w:t>
      </w:r>
      <w:r w:rsidR="000669E0" w:rsidRPr="008F23F6">
        <w:rPr>
          <w:b/>
        </w:rPr>
        <w:t xml:space="preserve"> mois et demi avant la soutenance : transmettre au président la liasse de thèse + la thèse rédigée</w:t>
      </w:r>
    </w:p>
    <w:p w14:paraId="79F55578" w14:textId="644C9A04" w:rsidR="000669E0" w:rsidRDefault="000669E0" w:rsidP="0045438F">
      <w:pPr>
        <w:spacing w:line="240" w:lineRule="auto"/>
        <w:jc w:val="both"/>
      </w:pPr>
      <w:r>
        <w:t xml:space="preserve">Récupérer la liasse de thèse sur </w:t>
      </w:r>
      <w:r w:rsidR="004730E1">
        <w:t>le site du DMG</w:t>
      </w:r>
      <w:r>
        <w:t xml:space="preserve">. La remplir proprement, la signer (vous et votre directeur). </w:t>
      </w:r>
    </w:p>
    <w:p w14:paraId="53DCD18E" w14:textId="5107B9F6" w:rsidR="000669E0" w:rsidRDefault="00856DD8" w:rsidP="0045438F">
      <w:pPr>
        <w:spacing w:line="240" w:lineRule="auto"/>
        <w:jc w:val="both"/>
      </w:pPr>
      <w:r>
        <w:t>Après accord de votre directeur, t</w:t>
      </w:r>
      <w:r w:rsidR="000669E0">
        <w:t>ransmettre la liasse et la thèse au président, qui va rédiger son rapport dans la liasse.</w:t>
      </w:r>
    </w:p>
    <w:p w14:paraId="59602341" w14:textId="77777777" w:rsidR="000669E0" w:rsidRDefault="000669E0" w:rsidP="0045438F">
      <w:pPr>
        <w:spacing w:line="240" w:lineRule="auto"/>
        <w:jc w:val="both"/>
      </w:pPr>
    </w:p>
    <w:p w14:paraId="58355951" w14:textId="77777777" w:rsidR="00410AED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>10. Un</w:t>
      </w:r>
      <w:r w:rsidR="000669E0" w:rsidRPr="008F23F6">
        <w:rPr>
          <w:b/>
        </w:rPr>
        <w:t xml:space="preserve"> mois avant la soutenance : transmettre la liasse complétée et la thèse au secrétariat de MG</w:t>
      </w:r>
    </w:p>
    <w:p w14:paraId="11B05710" w14:textId="0CD87C5B" w:rsidR="000669E0" w:rsidRDefault="000669E0" w:rsidP="0045438F">
      <w:pPr>
        <w:spacing w:line="240" w:lineRule="auto"/>
        <w:jc w:val="both"/>
      </w:pPr>
      <w:r>
        <w:t>Ces documents seront transmis au doyen et à la présidence de l’</w:t>
      </w:r>
      <w:r w:rsidR="00675D97">
        <w:t>U</w:t>
      </w:r>
      <w:r>
        <w:t xml:space="preserve">niversité pour signature. </w:t>
      </w:r>
    </w:p>
    <w:p w14:paraId="3508C419" w14:textId="26DC7476" w:rsidR="000669E0" w:rsidRDefault="000669E0" w:rsidP="0045438F">
      <w:pPr>
        <w:spacing w:line="240" w:lineRule="auto"/>
        <w:jc w:val="both"/>
      </w:pPr>
      <w:r>
        <w:t>Le secrétariat de MG vous contacte</w:t>
      </w:r>
      <w:r w:rsidR="00675D97">
        <w:t>ra</w:t>
      </w:r>
      <w:r>
        <w:t xml:space="preserve"> ensuite pour récupérer la feuille de vos conclusions de thèse signée par la présidence d’</w:t>
      </w:r>
      <w:r w:rsidR="00675D97">
        <w:t>U</w:t>
      </w:r>
      <w:r>
        <w:t xml:space="preserve">niversité, le doyen, le président de jury et le directeur de thèse. </w:t>
      </w:r>
    </w:p>
    <w:p w14:paraId="2C57D145" w14:textId="77777777" w:rsidR="000669E0" w:rsidRDefault="000669E0" w:rsidP="0045438F">
      <w:pPr>
        <w:spacing w:line="240" w:lineRule="auto"/>
        <w:jc w:val="both"/>
      </w:pPr>
    </w:p>
    <w:p w14:paraId="400403E8" w14:textId="77777777" w:rsidR="000669E0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11. </w:t>
      </w:r>
      <w:r w:rsidR="000669E0" w:rsidRPr="008F23F6">
        <w:rPr>
          <w:b/>
        </w:rPr>
        <w:t>Imprimer sa thèse</w:t>
      </w:r>
    </w:p>
    <w:p w14:paraId="7516ABD4" w14:textId="66299ADD" w:rsidR="000669E0" w:rsidRDefault="000669E0" w:rsidP="0045438F">
      <w:pPr>
        <w:spacing w:after="0" w:line="240" w:lineRule="auto"/>
        <w:jc w:val="both"/>
      </w:pPr>
      <w:r>
        <w:t xml:space="preserve">En y insérant la feuille de conclusions signée, qui tient lieu de permis d’imprimer. </w:t>
      </w:r>
      <w:r w:rsidR="0035593E">
        <w:t>Veiller à la qualité de l’impression et de la reliure : la thèse</w:t>
      </w:r>
      <w:r w:rsidR="009701A8">
        <w:t>, c’est</w:t>
      </w:r>
      <w:r w:rsidR="0035593E">
        <w:t xml:space="preserve"> une fois dans la vie </w:t>
      </w:r>
      <w:r w:rsidR="0035593E" w:rsidRPr="00FB2567">
        <w:rPr>
          <w:i/>
        </w:rPr>
        <w:t>a priori </w:t>
      </w:r>
      <w:r w:rsidR="0035593E">
        <w:t>!</w:t>
      </w:r>
    </w:p>
    <w:p w14:paraId="6526EBEC" w14:textId="1F1197AC" w:rsidR="00026F0C" w:rsidRPr="00026F0C" w:rsidRDefault="00026F0C" w:rsidP="0045438F">
      <w:pPr>
        <w:spacing w:line="240" w:lineRule="auto"/>
        <w:jc w:val="both"/>
        <w:rPr>
          <w:bCs/>
        </w:rPr>
      </w:pPr>
      <w:r w:rsidRPr="00FB2567">
        <w:rPr>
          <w:i/>
          <w:iCs/>
          <w:sz w:val="20"/>
          <w:szCs w:val="20"/>
        </w:rPr>
        <w:t>NB</w:t>
      </w:r>
      <w:r w:rsidR="00FB2567">
        <w:rPr>
          <w:i/>
          <w:iCs/>
          <w:sz w:val="20"/>
          <w:szCs w:val="20"/>
        </w:rPr>
        <w:t>. F</w:t>
      </w:r>
      <w:r w:rsidR="00C46AD0">
        <w:rPr>
          <w:i/>
          <w:iCs/>
          <w:sz w:val="20"/>
          <w:szCs w:val="20"/>
        </w:rPr>
        <w:t xml:space="preserve">euilleter </w:t>
      </w:r>
      <w:r w:rsidR="00B35D34">
        <w:rPr>
          <w:i/>
          <w:iCs/>
          <w:sz w:val="20"/>
          <w:szCs w:val="20"/>
        </w:rPr>
        <w:t>la</w:t>
      </w:r>
      <w:r>
        <w:rPr>
          <w:i/>
          <w:iCs/>
          <w:sz w:val="20"/>
          <w:szCs w:val="20"/>
        </w:rPr>
        <w:t xml:space="preserve"> </w:t>
      </w:r>
      <w:r w:rsidR="00C46AD0">
        <w:rPr>
          <w:i/>
          <w:iCs/>
          <w:sz w:val="20"/>
          <w:szCs w:val="20"/>
        </w:rPr>
        <w:t>version</w:t>
      </w:r>
      <w:r>
        <w:rPr>
          <w:i/>
          <w:iCs/>
          <w:sz w:val="20"/>
          <w:szCs w:val="20"/>
        </w:rPr>
        <w:t xml:space="preserve"> imprimée </w:t>
      </w:r>
      <w:r w:rsidR="00C46AD0">
        <w:rPr>
          <w:i/>
          <w:iCs/>
          <w:sz w:val="20"/>
          <w:szCs w:val="20"/>
        </w:rPr>
        <w:t xml:space="preserve">d’une thèse </w:t>
      </w:r>
      <w:r w:rsidR="00B35D34">
        <w:rPr>
          <w:i/>
          <w:iCs/>
          <w:sz w:val="20"/>
          <w:szCs w:val="20"/>
        </w:rPr>
        <w:t>déjà soutenue vous permettra</w:t>
      </w:r>
      <w:r>
        <w:rPr>
          <w:i/>
          <w:iCs/>
          <w:sz w:val="20"/>
          <w:szCs w:val="20"/>
        </w:rPr>
        <w:t xml:space="preserve"> de </w:t>
      </w:r>
      <w:r w:rsidR="00FB2567">
        <w:rPr>
          <w:i/>
          <w:iCs/>
          <w:sz w:val="20"/>
          <w:szCs w:val="20"/>
        </w:rPr>
        <w:t xml:space="preserve">visualiser </w:t>
      </w:r>
      <w:r>
        <w:rPr>
          <w:i/>
          <w:iCs/>
          <w:sz w:val="20"/>
          <w:szCs w:val="20"/>
        </w:rPr>
        <w:t>le</w:t>
      </w:r>
      <w:r w:rsidR="00FB2567">
        <w:rPr>
          <w:i/>
          <w:iCs/>
          <w:sz w:val="20"/>
          <w:szCs w:val="20"/>
        </w:rPr>
        <w:t xml:space="preserve"> format</w:t>
      </w:r>
      <w:r>
        <w:rPr>
          <w:i/>
          <w:iCs/>
          <w:sz w:val="20"/>
          <w:szCs w:val="20"/>
        </w:rPr>
        <w:t xml:space="preserve"> d’impression</w:t>
      </w:r>
      <w:r w:rsidR="00FB2567">
        <w:rPr>
          <w:i/>
          <w:iCs/>
          <w:sz w:val="20"/>
          <w:szCs w:val="20"/>
        </w:rPr>
        <w:t xml:space="preserve"> </w:t>
      </w:r>
      <w:r w:rsidR="00B35D34">
        <w:rPr>
          <w:i/>
          <w:iCs/>
          <w:sz w:val="20"/>
          <w:szCs w:val="20"/>
        </w:rPr>
        <w:t xml:space="preserve">requis </w:t>
      </w:r>
      <w:r>
        <w:rPr>
          <w:i/>
          <w:iCs/>
          <w:sz w:val="20"/>
          <w:szCs w:val="20"/>
        </w:rPr>
        <w:t>(pas de recto</w:t>
      </w:r>
      <w:r w:rsidR="00675D9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verso, respecter le bon ordre, première et quatrième page de couverture…) </w:t>
      </w:r>
    </w:p>
    <w:p w14:paraId="01CAC7F9" w14:textId="77777777" w:rsidR="000669E0" w:rsidRPr="000F464A" w:rsidRDefault="000669E0" w:rsidP="0045438F">
      <w:pPr>
        <w:spacing w:line="240" w:lineRule="auto"/>
        <w:jc w:val="both"/>
        <w:rPr>
          <w:b/>
        </w:rPr>
      </w:pPr>
    </w:p>
    <w:p w14:paraId="5B665AEC" w14:textId="77777777" w:rsidR="000669E0" w:rsidRPr="000F464A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12. </w:t>
      </w:r>
      <w:r w:rsidR="000669E0" w:rsidRPr="000F464A">
        <w:rPr>
          <w:b/>
        </w:rPr>
        <w:t>Transmettre la fiche de référencement bibliographique au secrétariat de MG</w:t>
      </w:r>
    </w:p>
    <w:p w14:paraId="00BAE3CF" w14:textId="30C691E6" w:rsidR="000669E0" w:rsidRDefault="000669E0" w:rsidP="0045438F">
      <w:pPr>
        <w:spacing w:line="240" w:lineRule="auto"/>
        <w:jc w:val="both"/>
      </w:pPr>
      <w:r>
        <w:t xml:space="preserve">Récupérer la fiche de référencement </w:t>
      </w:r>
      <w:r w:rsidR="004730E1">
        <w:t>sur le site du DMG</w:t>
      </w:r>
      <w:r>
        <w:t xml:space="preserve">. </w:t>
      </w:r>
    </w:p>
    <w:p w14:paraId="1CC23F0A" w14:textId="77777777" w:rsidR="000669E0" w:rsidRDefault="000669E0" w:rsidP="0045438F">
      <w:pPr>
        <w:spacing w:line="240" w:lineRule="auto"/>
        <w:jc w:val="both"/>
      </w:pPr>
    </w:p>
    <w:p w14:paraId="62F91702" w14:textId="77777777" w:rsidR="000669E0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13. </w:t>
      </w:r>
      <w:r w:rsidR="000669E0" w:rsidRPr="008F23F6">
        <w:rPr>
          <w:b/>
        </w:rPr>
        <w:t>Préparer sa soutenance</w:t>
      </w:r>
    </w:p>
    <w:p w14:paraId="28A3C7A9" w14:textId="4E398B11" w:rsidR="000669E0" w:rsidRDefault="000669E0" w:rsidP="0045438F">
      <w:pPr>
        <w:spacing w:after="60" w:line="240" w:lineRule="auto"/>
        <w:jc w:val="both"/>
      </w:pPr>
      <w:r>
        <w:t>Prévoir une quinzaine de minutes d’</w:t>
      </w:r>
      <w:r w:rsidR="008F23F6">
        <w:t xml:space="preserve">intervention. </w:t>
      </w:r>
      <w:r w:rsidR="00F24C1A">
        <w:t>Il est communément admis la règle « 1 minute = 1 diapositive » donc prévoir une quinzaine de diapos. Demande</w:t>
      </w:r>
      <w:r w:rsidR="00675D97">
        <w:t>r</w:t>
      </w:r>
      <w:r w:rsidR="00F24C1A">
        <w:t xml:space="preserve"> à votre directeur de thèse s’il souhaite relire votre diaporama avant la soutenance.</w:t>
      </w:r>
      <w:r w:rsidR="00FB2567">
        <w:t xml:space="preserve"> </w:t>
      </w:r>
      <w:r>
        <w:t xml:space="preserve">Répéter plusieurs fois avec des </w:t>
      </w:r>
      <w:r w:rsidR="00675D97">
        <w:t>personnes</w:t>
      </w:r>
      <w:r>
        <w:t xml:space="preserve">, pas forcément médecins pour vérifier le temps de discours, sa compréhension et son élocution. </w:t>
      </w:r>
    </w:p>
    <w:p w14:paraId="2E2F5ADD" w14:textId="77777777" w:rsidR="008F23F6" w:rsidRDefault="008F23F6" w:rsidP="0045438F">
      <w:pPr>
        <w:spacing w:after="60" w:line="240" w:lineRule="auto"/>
        <w:jc w:val="both"/>
      </w:pPr>
      <w:r>
        <w:t>Ne pas oublier de préparer une formule d’introduction « Madame la présidente du jury, Messieurs les membres du jury, Mesdames et Messieurs, j’ai l’honneur de vous présenter mon travail de thèse, dirigé par …., qui porte sur … ».</w:t>
      </w:r>
      <w:r w:rsidR="0035593E">
        <w:t xml:space="preserve"> </w:t>
      </w:r>
      <w:r>
        <w:t xml:space="preserve">Et une formule de conclusion « Je vous remercie de votre attention ». </w:t>
      </w:r>
    </w:p>
    <w:p w14:paraId="69BD9A2A" w14:textId="77777777" w:rsidR="008F23F6" w:rsidRDefault="008F23F6" w:rsidP="0045438F">
      <w:pPr>
        <w:spacing w:line="240" w:lineRule="auto"/>
        <w:jc w:val="both"/>
      </w:pPr>
      <w:r>
        <w:t xml:space="preserve">N’hésitez pas à </w:t>
      </w:r>
      <w:r w:rsidR="00877729">
        <w:t xml:space="preserve">aller </w:t>
      </w:r>
      <w:r>
        <w:t xml:space="preserve">assister </w:t>
      </w:r>
      <w:r w:rsidR="00877729">
        <w:t>à d’autres soutenances de thèse pour ne pas tout découvrir le jour J.</w:t>
      </w:r>
    </w:p>
    <w:p w14:paraId="29D01AD8" w14:textId="77777777" w:rsidR="009701A8" w:rsidRDefault="009701A8" w:rsidP="0045438F">
      <w:pPr>
        <w:spacing w:line="240" w:lineRule="auto"/>
        <w:jc w:val="both"/>
      </w:pPr>
    </w:p>
    <w:p w14:paraId="2FA2A54A" w14:textId="77777777" w:rsidR="008F23F6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14. </w:t>
      </w:r>
      <w:r w:rsidR="008F23F6" w:rsidRPr="008F23F6">
        <w:rPr>
          <w:b/>
        </w:rPr>
        <w:t>Le jour de la soutenance</w:t>
      </w:r>
    </w:p>
    <w:p w14:paraId="0DABD30A" w14:textId="54F95BCB" w:rsidR="008F23F6" w:rsidRDefault="008F23F6" w:rsidP="0045438F">
      <w:pPr>
        <w:spacing w:line="240" w:lineRule="auto"/>
        <w:jc w:val="both"/>
      </w:pPr>
      <w:r>
        <w:t>Il ne s’agit pas d’une soirée de l’ambassadeur en queue de pie et robe longue, ni d’une bamboche entre amis. S’habiller « proprement » : il s’a</w:t>
      </w:r>
      <w:r w:rsidR="00E9703B">
        <w:t>git d’être</w:t>
      </w:r>
      <w:r>
        <w:t xml:space="preserve"> </w:t>
      </w:r>
      <w:r w:rsidR="00C0686C">
        <w:t>adapté</w:t>
      </w:r>
      <w:r w:rsidR="00E9703B">
        <w:t xml:space="preserve"> à</w:t>
      </w:r>
      <w:r>
        <w:t xml:space="preserve"> la solennité du moment. </w:t>
      </w:r>
    </w:p>
    <w:p w14:paraId="13CBE13B" w14:textId="67736A38" w:rsidR="00CE2AB0" w:rsidRDefault="008F23F6" w:rsidP="0045438F">
      <w:pPr>
        <w:spacing w:line="240" w:lineRule="auto"/>
        <w:jc w:val="both"/>
      </w:pPr>
      <w:r>
        <w:t xml:space="preserve">Venir en avance dans la salle de soutenance pour préparer tous les aspects techniques avant l’arrivée du jury. </w:t>
      </w:r>
    </w:p>
    <w:p w14:paraId="530B14E8" w14:textId="3648B38F" w:rsidR="00A27A44" w:rsidRDefault="00A27A44" w:rsidP="0045438F">
      <w:pPr>
        <w:spacing w:line="240" w:lineRule="auto"/>
        <w:jc w:val="both"/>
      </w:pPr>
      <w:r>
        <w:t xml:space="preserve">Attention : le conseil pédagogique de la faculté a voté l’interdiction de filmer et/ou enregistrer les discours du jury lors de la soutenance. </w:t>
      </w:r>
    </w:p>
    <w:sectPr w:rsidR="00A27A4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F646" w14:textId="77777777" w:rsidR="00AC3385" w:rsidRDefault="00AC3385" w:rsidP="00BD64F9">
      <w:pPr>
        <w:spacing w:after="0" w:line="240" w:lineRule="auto"/>
      </w:pPr>
      <w:r>
        <w:separator/>
      </w:r>
    </w:p>
  </w:endnote>
  <w:endnote w:type="continuationSeparator" w:id="0">
    <w:p w14:paraId="3C5C1E81" w14:textId="77777777" w:rsidR="00AC3385" w:rsidRDefault="00AC3385" w:rsidP="00BD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5319"/>
      <w:docPartObj>
        <w:docPartGallery w:val="Page Numbers (Bottom of Page)"/>
        <w:docPartUnique/>
      </w:docPartObj>
    </w:sdtPr>
    <w:sdtContent>
      <w:p w14:paraId="22487A7F" w14:textId="191C2E2F" w:rsidR="00877729" w:rsidRDefault="0087772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34">
          <w:rPr>
            <w:noProof/>
          </w:rPr>
          <w:t>3</w:t>
        </w:r>
        <w:r>
          <w:fldChar w:fldCharType="end"/>
        </w:r>
      </w:p>
    </w:sdtContent>
  </w:sdt>
  <w:p w14:paraId="51902DE8" w14:textId="77777777" w:rsidR="00877729" w:rsidRDefault="00877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A446" w14:textId="77777777" w:rsidR="00AC3385" w:rsidRDefault="00AC3385" w:rsidP="00BD64F9">
      <w:pPr>
        <w:spacing w:after="0" w:line="240" w:lineRule="auto"/>
      </w:pPr>
      <w:r>
        <w:separator/>
      </w:r>
    </w:p>
  </w:footnote>
  <w:footnote w:type="continuationSeparator" w:id="0">
    <w:p w14:paraId="25570B5C" w14:textId="77777777" w:rsidR="00AC3385" w:rsidRDefault="00AC3385" w:rsidP="00BD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C854" w14:textId="4EA59C40" w:rsidR="009701A8" w:rsidRPr="009701A8" w:rsidRDefault="009701A8">
    <w:pPr>
      <w:pStyle w:val="En-tte"/>
      <w:rPr>
        <w:i/>
        <w:sz w:val="18"/>
      </w:rPr>
    </w:pPr>
    <w:r w:rsidRPr="009701A8">
      <w:rPr>
        <w:i/>
        <w:sz w:val="18"/>
      </w:rPr>
      <w:t>Mode d’emploi Thèse DESMG</w:t>
    </w:r>
    <w:r>
      <w:tab/>
    </w:r>
    <w:r>
      <w:tab/>
    </w:r>
    <w:r w:rsidRPr="009701A8">
      <w:rPr>
        <w:i/>
        <w:sz w:val="18"/>
      </w:rPr>
      <w:t>1</w:t>
    </w:r>
    <w:r w:rsidR="009326D8">
      <w:rPr>
        <w:i/>
        <w:sz w:val="18"/>
      </w:rPr>
      <w:t>6</w:t>
    </w:r>
    <w:r w:rsidRPr="009701A8">
      <w:rPr>
        <w:i/>
        <w:sz w:val="18"/>
      </w:rPr>
      <w:t xml:space="preserve"> j</w:t>
    </w:r>
    <w:r w:rsidR="009326D8">
      <w:rPr>
        <w:i/>
        <w:sz w:val="18"/>
      </w:rPr>
      <w:t>uin</w:t>
    </w:r>
    <w:r w:rsidRPr="009701A8">
      <w:rPr>
        <w:i/>
        <w:sz w:val="18"/>
      </w:rPr>
      <w:t xml:space="preserve"> 202</w:t>
    </w:r>
    <w:r w:rsidR="009326D8">
      <w:rPr>
        <w:i/>
        <w:sz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A7"/>
    <w:rsid w:val="00026F0C"/>
    <w:rsid w:val="000669E0"/>
    <w:rsid w:val="000E4CB7"/>
    <w:rsid w:val="000F464A"/>
    <w:rsid w:val="00137F1E"/>
    <w:rsid w:val="00235ED7"/>
    <w:rsid w:val="00315949"/>
    <w:rsid w:val="00346E7C"/>
    <w:rsid w:val="0035593E"/>
    <w:rsid w:val="003F38AA"/>
    <w:rsid w:val="00410AED"/>
    <w:rsid w:val="0045438F"/>
    <w:rsid w:val="004730E1"/>
    <w:rsid w:val="004967D9"/>
    <w:rsid w:val="004A5746"/>
    <w:rsid w:val="004C421A"/>
    <w:rsid w:val="004C56C6"/>
    <w:rsid w:val="004E6CA2"/>
    <w:rsid w:val="00511189"/>
    <w:rsid w:val="005F2A17"/>
    <w:rsid w:val="006728BE"/>
    <w:rsid w:val="00675D97"/>
    <w:rsid w:val="006A7CE3"/>
    <w:rsid w:val="007153A6"/>
    <w:rsid w:val="00771DD0"/>
    <w:rsid w:val="007B46F3"/>
    <w:rsid w:val="00856DD8"/>
    <w:rsid w:val="008700E4"/>
    <w:rsid w:val="00877729"/>
    <w:rsid w:val="008C47F4"/>
    <w:rsid w:val="008F23F6"/>
    <w:rsid w:val="009055F6"/>
    <w:rsid w:val="00921484"/>
    <w:rsid w:val="009326D8"/>
    <w:rsid w:val="00933BDF"/>
    <w:rsid w:val="009701A8"/>
    <w:rsid w:val="009E287A"/>
    <w:rsid w:val="009E6747"/>
    <w:rsid w:val="00A27A44"/>
    <w:rsid w:val="00A324AE"/>
    <w:rsid w:val="00A3616B"/>
    <w:rsid w:val="00AA0D3F"/>
    <w:rsid w:val="00AC3385"/>
    <w:rsid w:val="00B35D34"/>
    <w:rsid w:val="00B44F5E"/>
    <w:rsid w:val="00BD64F9"/>
    <w:rsid w:val="00BE017E"/>
    <w:rsid w:val="00C0686C"/>
    <w:rsid w:val="00C46AD0"/>
    <w:rsid w:val="00C62D00"/>
    <w:rsid w:val="00C85C52"/>
    <w:rsid w:val="00CE2AB0"/>
    <w:rsid w:val="00CF49A7"/>
    <w:rsid w:val="00D62BF4"/>
    <w:rsid w:val="00D77133"/>
    <w:rsid w:val="00D83C96"/>
    <w:rsid w:val="00DB7A1C"/>
    <w:rsid w:val="00E32A45"/>
    <w:rsid w:val="00E9703B"/>
    <w:rsid w:val="00EB43C3"/>
    <w:rsid w:val="00F24C1A"/>
    <w:rsid w:val="00F630CE"/>
    <w:rsid w:val="00F91EE6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42EEA"/>
  <w15:docId w15:val="{31B8E6BD-8E65-4FA1-A5D8-E49CFFB5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A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4F9"/>
  </w:style>
  <w:style w:type="paragraph" w:styleId="Pieddepage">
    <w:name w:val="footer"/>
    <w:basedOn w:val="Normal"/>
    <w:link w:val="PieddepageCar"/>
    <w:uiPriority w:val="99"/>
    <w:unhideWhenUsed/>
    <w:rsid w:val="00BD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4F9"/>
  </w:style>
  <w:style w:type="character" w:styleId="Lienhypertexte">
    <w:name w:val="Hyperlink"/>
    <w:basedOn w:val="Policepardfaut"/>
    <w:uiPriority w:val="99"/>
    <w:unhideWhenUsed/>
    <w:rsid w:val="00E32A4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5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1A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71D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D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D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D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DD0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2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pd.univ-st-etienne.f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dgen42@univ-st-etienne.fr" TargetMode="External"/><Relationship Id="rId12" Type="http://schemas.openxmlformats.org/officeDocument/2006/relationships/hyperlink" Target="mailto:terre.ethique@chuse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nil.fr/fr/recherche-etude-ou-evaluation-dans-le-domaine-de-la-sante-comment-proceder-pour-une-these-ou-u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il@univ-st-etienne.f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numetu.univ-st-etienne.fr/fr/l-acces-aux-outils/declarer-un-traitement-informatique-et-libertes-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Frappé</dc:creator>
  <cp:keywords/>
  <dc:description/>
  <cp:lastModifiedBy>Paul Frappé</cp:lastModifiedBy>
  <cp:revision>16</cp:revision>
  <dcterms:created xsi:type="dcterms:W3CDTF">2021-01-17T11:06:00Z</dcterms:created>
  <dcterms:modified xsi:type="dcterms:W3CDTF">2024-01-05T20:34:00Z</dcterms:modified>
</cp:coreProperties>
</file>